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633D56AD" w14:textId="77777777" w:rsidR="0075681C" w:rsidRDefault="00000000">
      <w:pPr>
        <w:spacing w:after="20"/>
      </w:pPr>
      <w:proofErr w:type="spellStart"/>
      <w:r>
        <w:rPr>
          <w:b/>
          <w:bCs/>
          <w:color w:val="0B2A4A"/>
          <w:sz w:val="44"/>
          <w:szCs w:val="44"/>
        </w:rPr>
        <w:t>nCino</w:t>
      </w:r>
      <w:proofErr w:type="spellEnd"/>
      <w:r>
        <w:rPr>
          <w:b/>
          <w:bCs/>
          <w:color w:val="0B2A4A"/>
          <w:sz w:val="44"/>
          <w:szCs w:val="44"/>
        </w:rPr>
        <w:t xml:space="preserve"> EMEA Summit 2026</w:t>
      </w:r>
    </w:p>
    <w:p w14:paraId="43330EF4" w14:textId="77777777" w:rsidR="0075681C" w:rsidRDefault="00000000">
      <w:pPr>
        <w:spacing w:after="20"/>
      </w:pPr>
      <w:r>
        <w:rPr>
          <w:color w:val="1F6FB2"/>
          <w:sz w:val="26"/>
          <w:szCs w:val="26"/>
        </w:rPr>
        <w:t>30 September 2026</w:t>
      </w:r>
    </w:p>
    <w:p w14:paraId="18D173E5" w14:textId="77777777" w:rsidR="0075681C" w:rsidRDefault="00000000">
      <w:pPr>
        <w:pBdr>
          <w:bottom w:val="single" w:sz="12" w:space="6" w:color="2E9BD6"/>
        </w:pBdr>
        <w:spacing w:after="40"/>
      </w:pPr>
      <w:r>
        <w:rPr>
          <w:b/>
          <w:bCs/>
          <w:color w:val="5A6672"/>
          <w:spacing w:val="30"/>
          <w:sz w:val="22"/>
          <w:szCs w:val="22"/>
        </w:rPr>
        <w:t xml:space="preserve">Morning </w:t>
      </w:r>
      <w:proofErr w:type="spellStart"/>
      <w:r>
        <w:rPr>
          <w:b/>
          <w:bCs/>
          <w:color w:val="5A6672"/>
          <w:spacing w:val="30"/>
          <w:sz w:val="22"/>
          <w:szCs w:val="22"/>
        </w:rPr>
        <w:t>Programme</w:t>
      </w:r>
      <w:proofErr w:type="spellEnd"/>
    </w:p>
    <w:p w14:paraId="3657D615" w14:textId="77777777" w:rsidR="0075681C" w:rsidRDefault="00000000">
      <w:pPr>
        <w:spacing w:before="300" w:after="40"/>
        <w:jc w:val="center"/>
      </w:pPr>
      <w:r>
        <w:rPr>
          <w:b/>
          <w:bCs/>
          <w:color w:val="1F6FB2"/>
          <w:sz w:val="24"/>
          <w:szCs w:val="24"/>
        </w:rPr>
        <w:t>Welcome Coffee, Networking &amp; Demo Stations</w:t>
      </w:r>
      <w:r>
        <w:rPr>
          <w:color w:val="5A6672"/>
          <w:sz w:val="22"/>
          <w:szCs w:val="22"/>
        </w:rPr>
        <w:t xml:space="preserve">   —   09:00 – 09:30</w:t>
      </w:r>
    </w:p>
    <w:p w14:paraId="62BCBED1" w14:textId="77777777" w:rsidR="0075681C" w:rsidRDefault="0075681C">
      <w:pPr>
        <w:pBdr>
          <w:bottom w:val="single" w:sz="4" w:space="1" w:color="D9DEE4"/>
        </w:pBdr>
        <w:spacing w:before="120"/>
      </w:pPr>
    </w:p>
    <w:p w14:paraId="7DF133EF" w14:textId="77777777" w:rsidR="0075681C" w:rsidRDefault="00000000">
      <w:pPr>
        <w:spacing w:before="320" w:after="40"/>
      </w:pPr>
      <w:r>
        <w:rPr>
          <w:b/>
          <w:bCs/>
          <w:color w:val="2E9BD6"/>
          <w:spacing w:val="20"/>
        </w:rPr>
        <w:t>09:30 – 09:45</w:t>
      </w:r>
      <w:r>
        <w:rPr>
          <w:color w:val="5A6672"/>
        </w:rPr>
        <w:t xml:space="preserve">   ·   15 min</w:t>
      </w:r>
    </w:p>
    <w:p w14:paraId="29625A20" w14:textId="77777777" w:rsidR="0075681C" w:rsidRDefault="00000000">
      <w:pPr>
        <w:spacing w:after="40"/>
      </w:pPr>
      <w:r>
        <w:rPr>
          <w:b/>
          <w:bCs/>
          <w:color w:val="0B2A4A"/>
          <w:sz w:val="30"/>
          <w:szCs w:val="30"/>
        </w:rPr>
        <w:t>Turning AI Vision into Outcomes</w:t>
      </w:r>
    </w:p>
    <w:p w14:paraId="3D2852AB" w14:textId="77777777" w:rsidR="0075681C" w:rsidRDefault="00000000">
      <w:pPr>
        <w:spacing w:after="80"/>
      </w:pPr>
      <w:r>
        <w:rPr>
          <w:i/>
          <w:iCs/>
          <w:color w:val="1F6FB2"/>
          <w:sz w:val="22"/>
          <w:szCs w:val="22"/>
        </w:rPr>
        <w:t xml:space="preserve">Joaquin de Valenzuela, Managing Director EMEA, </w:t>
      </w:r>
      <w:proofErr w:type="spellStart"/>
      <w:proofErr w:type="gramStart"/>
      <w:r>
        <w:rPr>
          <w:i/>
          <w:iCs/>
          <w:color w:val="1F6FB2"/>
          <w:sz w:val="22"/>
          <w:szCs w:val="22"/>
        </w:rPr>
        <w:t>nCino</w:t>
      </w:r>
      <w:proofErr w:type="spellEnd"/>
      <w:r>
        <w:rPr>
          <w:i/>
          <w:iCs/>
          <w:color w:val="1F6FB2"/>
          <w:sz w:val="22"/>
          <w:szCs w:val="22"/>
        </w:rPr>
        <w:t xml:space="preserve">  ·</w:t>
      </w:r>
      <w:proofErr w:type="gramEnd"/>
      <w:r>
        <w:rPr>
          <w:i/>
          <w:iCs/>
          <w:color w:val="1F6FB2"/>
          <w:sz w:val="22"/>
          <w:szCs w:val="22"/>
        </w:rPr>
        <w:t xml:space="preserve">  Sean Desmond, </w:t>
      </w:r>
      <w:proofErr w:type="spellStart"/>
      <w:r>
        <w:rPr>
          <w:i/>
          <w:iCs/>
          <w:color w:val="1F6FB2"/>
          <w:sz w:val="22"/>
          <w:szCs w:val="22"/>
        </w:rPr>
        <w:t>nCino</w:t>
      </w:r>
      <w:proofErr w:type="spellEnd"/>
    </w:p>
    <w:p w14:paraId="4EF84A2E" w14:textId="77777777" w:rsidR="0075681C" w:rsidRDefault="00000000">
      <w:pPr>
        <w:spacing w:after="60"/>
      </w:pPr>
      <w:r>
        <w:rPr>
          <w:color w:val="333F4B"/>
          <w:sz w:val="22"/>
          <w:szCs w:val="22"/>
        </w:rPr>
        <w:t>The opening keynote sets the tone for the day: how banks move beyond AI ambition to measurable business outcomes, and what that shift really takes.</w:t>
      </w:r>
    </w:p>
    <w:p w14:paraId="26429B4F" w14:textId="77777777" w:rsidR="0075681C" w:rsidRDefault="0075681C">
      <w:pPr>
        <w:pBdr>
          <w:bottom w:val="single" w:sz="4" w:space="1" w:color="D9DEE4"/>
        </w:pBdr>
        <w:spacing w:before="120"/>
      </w:pPr>
    </w:p>
    <w:p w14:paraId="644CDBF2" w14:textId="77777777" w:rsidR="0075681C" w:rsidRDefault="00000000">
      <w:pPr>
        <w:spacing w:before="320" w:after="40"/>
      </w:pPr>
      <w:r>
        <w:rPr>
          <w:b/>
          <w:bCs/>
          <w:color w:val="2E9BD6"/>
          <w:spacing w:val="20"/>
        </w:rPr>
        <w:t>09:45 – 10:25</w:t>
      </w:r>
      <w:r>
        <w:rPr>
          <w:color w:val="5A6672"/>
        </w:rPr>
        <w:t xml:space="preserve">   ·   40 min</w:t>
      </w:r>
    </w:p>
    <w:p w14:paraId="739EC03B" w14:textId="77777777" w:rsidR="0075681C" w:rsidRDefault="00000000">
      <w:pPr>
        <w:spacing w:after="40"/>
      </w:pPr>
      <w:r>
        <w:rPr>
          <w:b/>
          <w:bCs/>
          <w:color w:val="0B2A4A"/>
          <w:sz w:val="30"/>
          <w:szCs w:val="30"/>
        </w:rPr>
        <w:t>Beyond Compliance: What Responsible AI Really Demands of Financial Leaders</w:t>
      </w:r>
    </w:p>
    <w:p w14:paraId="2C419829" w14:textId="76F70912" w:rsidR="0075681C" w:rsidRDefault="00000000">
      <w:pPr>
        <w:spacing w:after="80"/>
      </w:pPr>
      <w:r>
        <w:rPr>
          <w:i/>
          <w:iCs/>
          <w:color w:val="1F6FB2"/>
          <w:sz w:val="22"/>
          <w:szCs w:val="22"/>
        </w:rPr>
        <w:t>Clara Durodie, AI Governance Advisor  ·  in conversation with</w:t>
      </w:r>
      <w:r w:rsidR="00D970D7">
        <w:rPr>
          <w:i/>
          <w:iCs/>
          <w:color w:val="1F6FB2"/>
          <w:sz w:val="22"/>
          <w:szCs w:val="22"/>
        </w:rPr>
        <w:t xml:space="preserve"> </w:t>
      </w:r>
      <w:r>
        <w:rPr>
          <w:i/>
          <w:iCs/>
          <w:color w:val="1F6FB2"/>
          <w:sz w:val="22"/>
          <w:szCs w:val="22"/>
        </w:rPr>
        <w:t>Joaquin de Valenzuela</w:t>
      </w:r>
    </w:p>
    <w:p w14:paraId="6B7738FB" w14:textId="77777777" w:rsidR="0075681C" w:rsidRDefault="00000000">
      <w:pPr>
        <w:spacing w:after="60"/>
      </w:pPr>
      <w:r>
        <w:rPr>
          <w:color w:val="333F4B"/>
          <w:sz w:val="22"/>
          <w:szCs w:val="22"/>
        </w:rPr>
        <w:t>A keynote and panel for leaders who need to move fast on AI without taking on regulatory or reputational risk. Clara advises governments and financial institutions on AI governance and responsible adoption — here she unpacks what responsible AI demands in practice.</w:t>
      </w:r>
    </w:p>
    <w:p w14:paraId="57D1D816" w14:textId="77777777" w:rsidR="0075681C" w:rsidRDefault="0075681C">
      <w:pPr>
        <w:pBdr>
          <w:bottom w:val="single" w:sz="4" w:space="1" w:color="D9DEE4"/>
        </w:pBdr>
        <w:spacing w:before="120"/>
      </w:pPr>
    </w:p>
    <w:p w14:paraId="285BBB34" w14:textId="77777777" w:rsidR="0075681C" w:rsidRDefault="00000000">
      <w:pPr>
        <w:spacing w:before="320" w:after="40"/>
      </w:pPr>
      <w:r>
        <w:rPr>
          <w:b/>
          <w:bCs/>
          <w:color w:val="2E9BD6"/>
          <w:spacing w:val="20"/>
        </w:rPr>
        <w:t>10:25 – 10:55</w:t>
      </w:r>
      <w:r>
        <w:rPr>
          <w:color w:val="5A6672"/>
        </w:rPr>
        <w:t xml:space="preserve">   ·   30 min</w:t>
      </w:r>
    </w:p>
    <w:p w14:paraId="6229935A" w14:textId="77777777" w:rsidR="0075681C" w:rsidRDefault="00000000">
      <w:pPr>
        <w:spacing w:after="40"/>
      </w:pPr>
      <w:r>
        <w:rPr>
          <w:b/>
          <w:bCs/>
          <w:color w:val="0B2A4A"/>
          <w:sz w:val="30"/>
          <w:szCs w:val="30"/>
        </w:rPr>
        <w:t>The Era of Agentic Banking</w:t>
      </w:r>
    </w:p>
    <w:p w14:paraId="7006DF40" w14:textId="77777777" w:rsidR="0075681C" w:rsidRDefault="00000000">
      <w:pPr>
        <w:spacing w:after="80"/>
      </w:pPr>
      <w:r>
        <w:rPr>
          <w:i/>
          <w:iCs/>
          <w:color w:val="1F6FB2"/>
          <w:sz w:val="22"/>
          <w:szCs w:val="22"/>
        </w:rPr>
        <w:t xml:space="preserve">Anthony Morris, </w:t>
      </w:r>
      <w:proofErr w:type="spellStart"/>
      <w:r>
        <w:rPr>
          <w:i/>
          <w:iCs/>
          <w:color w:val="1F6FB2"/>
          <w:sz w:val="22"/>
          <w:szCs w:val="22"/>
        </w:rPr>
        <w:t>nCino</w:t>
      </w:r>
      <w:proofErr w:type="spellEnd"/>
    </w:p>
    <w:p w14:paraId="52AF883E" w14:textId="77777777" w:rsidR="0075681C" w:rsidRDefault="00000000">
      <w:pPr>
        <w:spacing w:after="60"/>
      </w:pPr>
      <w:proofErr w:type="spellStart"/>
      <w:r>
        <w:rPr>
          <w:color w:val="333F4B"/>
          <w:sz w:val="22"/>
          <w:szCs w:val="22"/>
        </w:rPr>
        <w:t>nCino's</w:t>
      </w:r>
      <w:proofErr w:type="spellEnd"/>
      <w:r>
        <w:rPr>
          <w:color w:val="333F4B"/>
          <w:sz w:val="22"/>
          <w:szCs w:val="22"/>
        </w:rPr>
        <w:t xml:space="preserve"> vision keynote on the next era of banking — where intelligence is embedded in how you work, AI amplifies your people rather than replacing them, and outcomes that weren't possible before </w:t>
      </w:r>
      <w:proofErr w:type="gramStart"/>
      <w:r>
        <w:rPr>
          <w:color w:val="333F4B"/>
          <w:sz w:val="22"/>
          <w:szCs w:val="22"/>
        </w:rPr>
        <w:t>become</w:t>
      </w:r>
      <w:proofErr w:type="gramEnd"/>
      <w:r>
        <w:rPr>
          <w:color w:val="333F4B"/>
          <w:sz w:val="22"/>
          <w:szCs w:val="22"/>
        </w:rPr>
        <w:t xml:space="preserve"> the new standard. Expect a first look at some of </w:t>
      </w:r>
      <w:proofErr w:type="spellStart"/>
      <w:r>
        <w:rPr>
          <w:color w:val="333F4B"/>
          <w:sz w:val="22"/>
          <w:szCs w:val="22"/>
        </w:rPr>
        <w:t>nCino's</w:t>
      </w:r>
      <w:proofErr w:type="spellEnd"/>
      <w:r>
        <w:rPr>
          <w:color w:val="333F4B"/>
          <w:sz w:val="22"/>
          <w:szCs w:val="22"/>
        </w:rPr>
        <w:t xml:space="preserve"> latest AI capabilities and agents in action.</w:t>
      </w:r>
    </w:p>
    <w:p w14:paraId="330AA53D" w14:textId="77777777" w:rsidR="0075681C" w:rsidRDefault="0075681C">
      <w:pPr>
        <w:pBdr>
          <w:bottom w:val="single" w:sz="4" w:space="1" w:color="D9DEE4"/>
        </w:pBdr>
        <w:spacing w:before="120"/>
      </w:pPr>
    </w:p>
    <w:p w14:paraId="3A71F285" w14:textId="77777777" w:rsidR="0075681C" w:rsidRDefault="00000000">
      <w:pPr>
        <w:spacing w:before="300" w:after="40"/>
        <w:jc w:val="center"/>
      </w:pPr>
      <w:r>
        <w:rPr>
          <w:b/>
          <w:bCs/>
          <w:color w:val="1F6FB2"/>
          <w:sz w:val="24"/>
          <w:szCs w:val="24"/>
        </w:rPr>
        <w:t>Coffee Break</w:t>
      </w:r>
      <w:r>
        <w:rPr>
          <w:color w:val="5A6672"/>
          <w:sz w:val="22"/>
          <w:szCs w:val="22"/>
        </w:rPr>
        <w:t xml:space="preserve">   —   10:55 – 11:10</w:t>
      </w:r>
    </w:p>
    <w:p w14:paraId="4071BE98" w14:textId="77777777" w:rsidR="0075681C" w:rsidRDefault="0075681C">
      <w:pPr>
        <w:pBdr>
          <w:bottom w:val="single" w:sz="4" w:space="1" w:color="D9DEE4"/>
        </w:pBdr>
        <w:spacing w:before="120"/>
      </w:pPr>
    </w:p>
    <w:p w14:paraId="66A9A4BC" w14:textId="77777777" w:rsidR="0075681C" w:rsidRDefault="00000000">
      <w:pPr>
        <w:spacing w:before="320" w:after="40"/>
      </w:pPr>
      <w:r>
        <w:rPr>
          <w:b/>
          <w:bCs/>
          <w:color w:val="2E9BD6"/>
          <w:spacing w:val="20"/>
        </w:rPr>
        <w:t>11:10 – 11:40</w:t>
      </w:r>
      <w:r>
        <w:rPr>
          <w:color w:val="5A6672"/>
        </w:rPr>
        <w:t xml:space="preserve">   ·   30 min</w:t>
      </w:r>
    </w:p>
    <w:p w14:paraId="1521A022" w14:textId="77777777" w:rsidR="0075681C" w:rsidRDefault="00000000">
      <w:pPr>
        <w:spacing w:after="40"/>
      </w:pPr>
      <w:r>
        <w:rPr>
          <w:b/>
          <w:bCs/>
          <w:color w:val="0B2A4A"/>
          <w:sz w:val="30"/>
          <w:szCs w:val="30"/>
        </w:rPr>
        <w:t>Implementation vs. Transformation: Balancing the Priorities</w:t>
      </w:r>
    </w:p>
    <w:p w14:paraId="4608F80A" w14:textId="77777777" w:rsidR="0075681C" w:rsidRDefault="00000000">
      <w:pPr>
        <w:spacing w:after="80"/>
      </w:pPr>
      <w:r>
        <w:rPr>
          <w:i/>
          <w:iCs/>
          <w:color w:val="1F6FB2"/>
          <w:sz w:val="22"/>
          <w:szCs w:val="22"/>
        </w:rPr>
        <w:t xml:space="preserve">Bauke Sprenger, </w:t>
      </w:r>
      <w:proofErr w:type="gramStart"/>
      <w:r>
        <w:rPr>
          <w:i/>
          <w:iCs/>
          <w:color w:val="1F6FB2"/>
          <w:sz w:val="22"/>
          <w:szCs w:val="22"/>
        </w:rPr>
        <w:t>PwC  ·</w:t>
      </w:r>
      <w:proofErr w:type="gramEnd"/>
      <w:r>
        <w:rPr>
          <w:i/>
          <w:iCs/>
          <w:color w:val="1F6FB2"/>
          <w:sz w:val="22"/>
          <w:szCs w:val="22"/>
        </w:rPr>
        <w:t xml:space="preserve">  Rainer Woehrenschimmel, Raiffeisen</w:t>
      </w:r>
    </w:p>
    <w:p w14:paraId="6120809B" w14:textId="77777777" w:rsidR="0075681C" w:rsidRDefault="00000000">
      <w:pPr>
        <w:spacing w:after="60"/>
      </w:pPr>
      <w:r>
        <w:rPr>
          <w:color w:val="333F4B"/>
          <w:sz w:val="22"/>
          <w:szCs w:val="22"/>
        </w:rPr>
        <w:t xml:space="preserve">Institutions are under pressure to </w:t>
      </w:r>
      <w:proofErr w:type="spellStart"/>
      <w:r>
        <w:rPr>
          <w:color w:val="333F4B"/>
          <w:sz w:val="22"/>
          <w:szCs w:val="22"/>
        </w:rPr>
        <w:t>modernise</w:t>
      </w:r>
      <w:proofErr w:type="spellEnd"/>
      <w:r>
        <w:rPr>
          <w:color w:val="333F4B"/>
          <w:sz w:val="22"/>
          <w:szCs w:val="22"/>
        </w:rPr>
        <w:t>, meet regulation, and cut costs all at once — and the hardest call is how to move: quick wins through implementation, or full-scale transformation. The panel shares how they decide which path to take, sequence investment for impact with manageable risk, and measure the success that truly matters.</w:t>
      </w:r>
    </w:p>
    <w:p w14:paraId="36F2A682" w14:textId="77777777" w:rsidR="0075681C" w:rsidRDefault="0075681C">
      <w:pPr>
        <w:pBdr>
          <w:bottom w:val="single" w:sz="4" w:space="1" w:color="D9DEE4"/>
        </w:pBdr>
        <w:spacing w:before="120"/>
      </w:pPr>
    </w:p>
    <w:p w14:paraId="15EA87CB" w14:textId="77777777" w:rsidR="0075681C" w:rsidRDefault="00000000">
      <w:pPr>
        <w:spacing w:before="320" w:after="40"/>
      </w:pPr>
      <w:r>
        <w:rPr>
          <w:b/>
          <w:bCs/>
          <w:color w:val="2E9BD6"/>
          <w:spacing w:val="20"/>
        </w:rPr>
        <w:t>11:40 – 12:10</w:t>
      </w:r>
      <w:r>
        <w:rPr>
          <w:color w:val="5A6672"/>
        </w:rPr>
        <w:t xml:space="preserve">   ·   30 min</w:t>
      </w:r>
    </w:p>
    <w:p w14:paraId="616843EC" w14:textId="77777777" w:rsidR="0075681C" w:rsidRDefault="00000000">
      <w:pPr>
        <w:spacing w:after="40"/>
      </w:pPr>
      <w:r>
        <w:rPr>
          <w:b/>
          <w:bCs/>
          <w:color w:val="0B2A4A"/>
          <w:sz w:val="30"/>
          <w:szCs w:val="30"/>
        </w:rPr>
        <w:lastRenderedPageBreak/>
        <w:t>From First Onboarding to Perpetual KYC: One Connected View of Client Risk</w:t>
      </w:r>
    </w:p>
    <w:p w14:paraId="78029204" w14:textId="77777777" w:rsidR="0075681C" w:rsidRDefault="00000000">
      <w:pPr>
        <w:spacing w:after="80"/>
      </w:pPr>
      <w:proofErr w:type="spellStart"/>
      <w:r>
        <w:rPr>
          <w:i/>
          <w:iCs/>
          <w:color w:val="1F6FB2"/>
          <w:sz w:val="22"/>
          <w:szCs w:val="22"/>
        </w:rPr>
        <w:t>nCino</w:t>
      </w:r>
      <w:proofErr w:type="spellEnd"/>
      <w:r>
        <w:rPr>
          <w:i/>
          <w:iCs/>
          <w:color w:val="1F6FB2"/>
          <w:sz w:val="22"/>
          <w:szCs w:val="22"/>
        </w:rPr>
        <w:t xml:space="preserve"> &amp; Dun &amp; Bradstreet</w:t>
      </w:r>
    </w:p>
    <w:p w14:paraId="15A8A921" w14:textId="77777777" w:rsidR="0075681C" w:rsidRDefault="00000000">
      <w:pPr>
        <w:spacing w:after="60"/>
      </w:pPr>
      <w:r>
        <w:rPr>
          <w:color w:val="333F4B"/>
          <w:sz w:val="22"/>
          <w:szCs w:val="22"/>
        </w:rPr>
        <w:t xml:space="preserve">Perpetual KYC isn't a switch banks flip overnight — it's a journey from periodic reviews and remediation backlogs towards more continuous, event-driven client risk management. This session explores how </w:t>
      </w:r>
      <w:proofErr w:type="spellStart"/>
      <w:r>
        <w:rPr>
          <w:color w:val="333F4B"/>
          <w:sz w:val="22"/>
          <w:szCs w:val="22"/>
        </w:rPr>
        <w:t>nCino's</w:t>
      </w:r>
      <w:proofErr w:type="spellEnd"/>
      <w:r>
        <w:rPr>
          <w:color w:val="333F4B"/>
          <w:sz w:val="22"/>
          <w:szCs w:val="22"/>
        </w:rPr>
        <w:t xml:space="preserve"> workflow and Dun &amp; Bradstreet's trusted business identity and ownership data can come together as one connected view, bringing onboarding and monitoring onto the same data and the same workflow.</w:t>
      </w:r>
    </w:p>
    <w:p w14:paraId="026D0C44" w14:textId="77777777" w:rsidR="0075681C" w:rsidRDefault="0075681C">
      <w:pPr>
        <w:pBdr>
          <w:bottom w:val="single" w:sz="4" w:space="1" w:color="D9DEE4"/>
        </w:pBdr>
        <w:spacing w:before="120"/>
      </w:pPr>
    </w:p>
    <w:sectPr w:rsidR="0075681C">
      <w:pgSz w:w="11906" w:h="16838"/>
      <w:pgMar w:top="1000" w:right="1200" w:bottom="1000" w:left="1200" w:header="708" w:footer="708"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Aptos">
    <w:panose1 w:val="020B0004020202020204"/>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0C304EBA"/>
    <w:multiLevelType w:val="hybridMultilevel"/>
    <w:tmpl w:val="E7A89BAA"/>
    <w:lvl w:ilvl="0" w:tplc="3FE8204E">
      <w:start w:val="1"/>
      <w:numFmt w:val="bullet"/>
      <w:lvlText w:val="●"/>
      <w:lvlJc w:val="left"/>
      <w:pPr>
        <w:ind w:left="720" w:hanging="360"/>
      </w:pPr>
    </w:lvl>
    <w:lvl w:ilvl="1" w:tplc="AA8436FC">
      <w:start w:val="1"/>
      <w:numFmt w:val="bullet"/>
      <w:lvlText w:val="○"/>
      <w:lvlJc w:val="left"/>
      <w:pPr>
        <w:ind w:left="1440" w:hanging="360"/>
      </w:pPr>
    </w:lvl>
    <w:lvl w:ilvl="2" w:tplc="E7820504">
      <w:start w:val="1"/>
      <w:numFmt w:val="bullet"/>
      <w:lvlText w:val="■"/>
      <w:lvlJc w:val="left"/>
      <w:pPr>
        <w:ind w:left="2160" w:hanging="360"/>
      </w:pPr>
    </w:lvl>
    <w:lvl w:ilvl="3" w:tplc="D12AD2A0">
      <w:start w:val="1"/>
      <w:numFmt w:val="bullet"/>
      <w:lvlText w:val="●"/>
      <w:lvlJc w:val="left"/>
      <w:pPr>
        <w:ind w:left="2880" w:hanging="360"/>
      </w:pPr>
    </w:lvl>
    <w:lvl w:ilvl="4" w:tplc="EA904936">
      <w:start w:val="1"/>
      <w:numFmt w:val="bullet"/>
      <w:lvlText w:val="○"/>
      <w:lvlJc w:val="left"/>
      <w:pPr>
        <w:ind w:left="3600" w:hanging="360"/>
      </w:pPr>
    </w:lvl>
    <w:lvl w:ilvl="5" w:tplc="ED161F1A">
      <w:start w:val="1"/>
      <w:numFmt w:val="bullet"/>
      <w:lvlText w:val="■"/>
      <w:lvlJc w:val="left"/>
      <w:pPr>
        <w:ind w:left="4320" w:hanging="360"/>
      </w:pPr>
    </w:lvl>
    <w:lvl w:ilvl="6" w:tplc="911A2532">
      <w:start w:val="1"/>
      <w:numFmt w:val="bullet"/>
      <w:lvlText w:val="●"/>
      <w:lvlJc w:val="left"/>
      <w:pPr>
        <w:ind w:left="5040" w:hanging="360"/>
      </w:pPr>
    </w:lvl>
    <w:lvl w:ilvl="7" w:tplc="544AFF20">
      <w:start w:val="1"/>
      <w:numFmt w:val="bullet"/>
      <w:lvlText w:val="●"/>
      <w:lvlJc w:val="left"/>
      <w:pPr>
        <w:ind w:left="5760" w:hanging="360"/>
      </w:pPr>
    </w:lvl>
    <w:lvl w:ilvl="8" w:tplc="1C542444">
      <w:start w:val="1"/>
      <w:numFmt w:val="bullet"/>
      <w:lvlText w:val="●"/>
      <w:lvlJc w:val="left"/>
      <w:pPr>
        <w:ind w:left="6480" w:hanging="360"/>
      </w:pPr>
    </w:lvl>
  </w:abstractNum>
  <w:num w:numId="1" w16cid:durableId="1400859972">
    <w:abstractNumId w:val="0"/>
    <w:lvlOverride w:ilvl="0">
      <w:startOverride w:val="1"/>
    </w:lvlOverride>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74"/>
  <w:displayBackgroundShape/>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5681C"/>
    <w:rsid w:val="00471341"/>
    <w:rsid w:val="0059279E"/>
    <w:rsid w:val="0075681C"/>
    <w:rsid w:val="00D970D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4F766401"/>
  <w15:docId w15:val="{AA58CAF0-7043-F144-AC29-9937F31D16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Calibri" w:eastAsia="Calibri" w:hAnsi="Calibri" w:cs="Calibri"/>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uiPriority w:val="9"/>
    <w:qFormat/>
    <w:pPr>
      <w:outlineLvl w:val="0"/>
    </w:pPr>
    <w:rPr>
      <w:color w:val="2E74B5"/>
      <w:sz w:val="32"/>
      <w:szCs w:val="32"/>
    </w:rPr>
  </w:style>
  <w:style w:type="paragraph" w:styleId="Heading2">
    <w:name w:val="heading 2"/>
    <w:uiPriority w:val="9"/>
    <w:semiHidden/>
    <w:unhideWhenUsed/>
    <w:qFormat/>
    <w:pPr>
      <w:outlineLvl w:val="1"/>
    </w:pPr>
    <w:rPr>
      <w:color w:val="2E74B5"/>
      <w:sz w:val="26"/>
      <w:szCs w:val="26"/>
    </w:rPr>
  </w:style>
  <w:style w:type="paragraph" w:styleId="Heading3">
    <w:name w:val="heading 3"/>
    <w:uiPriority w:val="9"/>
    <w:semiHidden/>
    <w:unhideWhenUsed/>
    <w:qFormat/>
    <w:pPr>
      <w:outlineLvl w:val="2"/>
    </w:pPr>
    <w:rPr>
      <w:color w:val="1F4D78"/>
      <w:sz w:val="24"/>
      <w:szCs w:val="24"/>
    </w:rPr>
  </w:style>
  <w:style w:type="paragraph" w:styleId="Heading4">
    <w:name w:val="heading 4"/>
    <w:uiPriority w:val="9"/>
    <w:semiHidden/>
    <w:unhideWhenUsed/>
    <w:qFormat/>
    <w:pPr>
      <w:outlineLvl w:val="3"/>
    </w:pPr>
    <w:rPr>
      <w:i/>
      <w:iCs/>
      <w:color w:val="2E74B5"/>
    </w:rPr>
  </w:style>
  <w:style w:type="paragraph" w:styleId="Heading5">
    <w:name w:val="heading 5"/>
    <w:uiPriority w:val="9"/>
    <w:semiHidden/>
    <w:unhideWhenUsed/>
    <w:qFormat/>
    <w:pPr>
      <w:outlineLvl w:val="4"/>
    </w:pPr>
    <w:rPr>
      <w:color w:val="2E74B5"/>
    </w:rPr>
  </w:style>
  <w:style w:type="paragraph" w:styleId="Heading6">
    <w:name w:val="heading 6"/>
    <w:uiPriority w:val="9"/>
    <w:semiHidden/>
    <w:unhideWhenUsed/>
    <w:qFormat/>
    <w:pPr>
      <w:outlineLvl w:val="5"/>
    </w:pPr>
    <w:rPr>
      <w:color w:val="1F4D7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uiPriority w:val="10"/>
    <w:qFormat/>
    <w:rPr>
      <w:sz w:val="56"/>
      <w:szCs w:val="56"/>
    </w:rPr>
  </w:style>
  <w:style w:type="paragraph" w:customStyle="1" w:styleId="Strong1">
    <w:name w:val="Strong1"/>
    <w:qFormat/>
    <w:rPr>
      <w:b/>
      <w:bCs/>
    </w:rPr>
  </w:style>
  <w:style w:type="paragraph" w:styleId="ListParagraph">
    <w:name w:val="List Paragraph"/>
    <w:qFormat/>
  </w:style>
  <w:style w:type="character" w:styleId="Hyperlink">
    <w:name w:val="Hyperlink"/>
    <w:uiPriority w:val="99"/>
    <w:unhideWhenUsed/>
    <w:rPr>
      <w:color w:val="0563C1"/>
      <w:u w:val="single"/>
    </w:rPr>
  </w:style>
  <w:style w:type="character" w:styleId="FootnoteReference">
    <w:name w:val="footnote reference"/>
    <w:uiPriority w:val="99"/>
    <w:semiHidden/>
    <w:unhideWhenUsed/>
    <w:rPr>
      <w:vertAlign w:val="superscript"/>
    </w:rPr>
  </w:style>
  <w:style w:type="paragraph" w:styleId="FootnoteText">
    <w:name w:val="footnote text"/>
    <w:link w:val="FootnoteTextChar"/>
    <w:uiPriority w:val="99"/>
    <w:semiHidden/>
    <w:unhideWhenUsed/>
  </w:style>
  <w:style w:type="character" w:customStyle="1" w:styleId="FootnoteTextChar">
    <w:name w:val="Footnote Text Char"/>
    <w:link w:val="FootnoteText"/>
    <w:uiPriority w:val="99"/>
    <w:semiHidden/>
    <w:unhideWhenUsed/>
    <w:rPr>
      <w:sz w:val="20"/>
      <w:szCs w:val="20"/>
    </w:rPr>
  </w:style>
  <w:style w:type="character" w:styleId="EndnoteReference">
    <w:name w:val="endnote reference"/>
    <w:uiPriority w:val="99"/>
    <w:semiHidden/>
    <w:unhideWhenUsed/>
    <w:rPr>
      <w:vertAlign w:val="superscript"/>
    </w:rPr>
  </w:style>
  <w:style w:type="paragraph" w:styleId="EndnoteText">
    <w:name w:val="endnote text"/>
    <w:link w:val="EndnoteTextChar"/>
    <w:uiPriority w:val="99"/>
    <w:semiHidden/>
    <w:unhideWhenUsed/>
  </w:style>
  <w:style w:type="character" w:customStyle="1" w:styleId="EndnoteTextChar">
    <w:name w:val="Endnote Text Char"/>
    <w:link w:val="EndnoteText"/>
    <w:uiPriority w:val="99"/>
    <w:semiHidden/>
    <w:unhideWhenUsed/>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342</Words>
  <Characters>1956</Characters>
  <Application>Microsoft Office Word</Application>
  <DocSecurity>0</DocSecurity>
  <Lines>16</Lines>
  <Paragraphs>4</Paragraphs>
  <ScaleCrop>false</ScaleCrop>
  <Company/>
  <LinksUpToDate>false</LinksUpToDate>
  <CharactersWithSpaces>2294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Remy Izambert</cp:lastModifiedBy>
  <cp:revision>2</cp:revision>
  <dcterms:created xsi:type="dcterms:W3CDTF">2026-08-03T16:21:00Z</dcterms:created>
  <dcterms:modified xsi:type="dcterms:W3CDTF">2026-08-03T16:21:00Z</dcterms:modified>
</cp:coreProperties>
</file>